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Policy Index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Last updated: 2026-03-19</w:t>
      </w:r>
    </w:p>
    <w:p>
      <w:r>
        <w:t xml:space="preserve">Project: nextjs-saas-example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Your compliance library contains **112 documents** across **13 categories**. This index provides a complete overview of every generated compliance document, organized by topic for easy navigation.</w:t>
      </w:r>
    </w:p>
    <w:p>
      <w:pPr>
        <w:pStyle w:val="Heading2"/>
      </w:pPr>
      <w:r>
        <w:t>Summary</w:t>
      </w:r>
    </w:p>
    <w:p>
      <w:r>
        <w:rPr>
          <w:sz w:val="20"/>
        </w:rPr>
        <w:t xml:space="preserve">Category  |  Documents</w:t>
      </w:r>
    </w:p>
    <w:p>
      <w:r>
        <w:rPr>
          <w:sz w:val="20"/>
        </w:rPr>
        <w:t xml:space="preserve">Privacy &amp; Data Protection  |  29</w:t>
      </w:r>
    </w:p>
    <w:p>
      <w:r>
        <w:rPr>
          <w:sz w:val="20"/>
        </w:rPr>
        <w:t xml:space="preserve">AI &amp; Machine Learning  |  10</w:t>
      </w:r>
    </w:p>
    <w:p>
      <w:r>
        <w:rPr>
          <w:sz w:val="20"/>
        </w:rPr>
        <w:t xml:space="preserve">Security  |  9</w:t>
      </w:r>
    </w:p>
    <w:p>
      <w:r>
        <w:rPr>
          <w:sz w:val="20"/>
        </w:rPr>
        <w:t xml:space="preserve">Incident Management  |  8</w:t>
      </w:r>
    </w:p>
    <w:p>
      <w:r>
        <w:rPr>
          <w:sz w:val="20"/>
        </w:rPr>
        <w:t xml:space="preserve">Vendor &amp; Third-Party Management  |  12</w:t>
      </w:r>
    </w:p>
    <w:p>
      <w:r>
        <w:rPr>
          <w:sz w:val="20"/>
        </w:rPr>
        <w:t xml:space="preserve">Cookies &amp; Consent  |  5</w:t>
      </w:r>
    </w:p>
    <w:p>
      <w:r>
        <w:rPr>
          <w:sz w:val="20"/>
        </w:rPr>
        <w:t xml:space="preserve">Compliance Frameworks  |  9</w:t>
      </w:r>
    </w:p>
    <w:p>
      <w:r>
        <w:rPr>
          <w:sz w:val="20"/>
        </w:rPr>
        <w:t xml:space="preserve">Legal &amp; Terms  |  6</w:t>
      </w:r>
    </w:p>
    <w:p>
      <w:r>
        <w:rPr>
          <w:sz w:val="20"/>
        </w:rPr>
        <w:t xml:space="preserve">Organizational  |  5</w:t>
      </w:r>
    </w:p>
    <w:p>
      <w:r>
        <w:rPr>
          <w:sz w:val="20"/>
        </w:rPr>
        <w:t xml:space="preserve">Reporting &amp; Communication  |  7</w:t>
      </w:r>
    </w:p>
    <w:p>
      <w:r>
        <w:rPr>
          <w:sz w:val="20"/>
        </w:rPr>
        <w:t xml:space="preserve">Risk Management  |  5</w:t>
      </w:r>
    </w:p>
    <w:p>
      <w:r>
        <w:rPr>
          <w:sz w:val="20"/>
        </w:rPr>
        <w:t xml:space="preserve">Guides &amp; References  |  5</w:t>
      </w:r>
    </w:p>
    <w:p>
      <w:r>
        <w:rPr>
          <w:sz w:val="20"/>
        </w:rPr>
        <w:t xml:space="preserve">Other  |  2</w:t>
      </w:r>
    </w:p>
    <w:p>
      <w:r>
        <w:rPr>
          <w:sz w:val="20"/>
        </w:rPr>
        <w:t xml:space="preserve">**Total**  |  **112**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Privacy &amp; Data Protection</w:t>
      </w:r>
    </w:p>
    <w:p>
      <w:r>
        <w:t xml:space="preserve">Core privacy policies, data handling procedures, and GDPR/CCPA compliance documents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Data Classification Report  |  `DATA_CLASSIFICATION.md`</w:t>
      </w:r>
    </w:p>
    <w:p>
      <w:r>
        <w:rPr>
          <w:sz w:val="20"/>
        </w:rPr>
        <w:t xml:space="preserve">Data Deletion Procedures  |  `DATA_DELETION_PROCEDURES.md`</w:t>
      </w:r>
    </w:p>
    <w:p>
      <w:r>
        <w:rPr>
          <w:sz w:val="20"/>
        </w:rPr>
        <w:t xml:space="preserve">Data Dictionary  |  `DATA_DICTIONARY.md`</w:t>
      </w:r>
    </w:p>
    <w:p>
      <w:r>
        <w:rPr>
          <w:sz w:val="20"/>
        </w:rPr>
        <w:t xml:space="preserve">Data Flow Diagram  |  `DATA_FLOW_DIAGRAM.md`</w:t>
      </w:r>
    </w:p>
    <w:p>
      <w:r>
        <w:rPr>
          <w:sz w:val="20"/>
        </w:rPr>
        <w:t xml:space="preserve">Data Flow Map  |  `DATA_FLOW_MAP.md`</w:t>
      </w:r>
    </w:p>
    <w:p>
      <w:r>
        <w:rPr>
          <w:sz w:val="20"/>
        </w:rPr>
        <w:t xml:space="preserve">Data Lifecycle Diagram  |  `DATA_LIFECYCLE_DIAGRAM.md`</w:t>
      </w:r>
    </w:p>
    <w:p>
      <w:r>
        <w:rPr>
          <w:sz w:val="20"/>
        </w:rPr>
        <w:t xml:space="preserve">Data Mapping Register  |  `DATA_MAPPING_REGISTER.md`</w:t>
      </w:r>
    </w:p>
    <w:p>
      <w:r>
        <w:rPr>
          <w:sz w:val="20"/>
        </w:rPr>
        <w:t xml:space="preserve">Data Portability Guide  |  `DATA_PORTABILITY_GUIDE.md`</w:t>
      </w:r>
    </w:p>
    <w:p>
      <w:r>
        <w:rPr>
          <w:sz w:val="20"/>
        </w:rPr>
        <w:t xml:space="preserve">Data Processing Agreement  |  `DATA_PROCESSING_AGREEMENT.md`</w:t>
      </w:r>
    </w:p>
    <w:p>
      <w:r>
        <w:rPr>
          <w:sz w:val="20"/>
        </w:rPr>
        <w:t xml:space="preserve">Data Protection Policy  |  `DATA_PROTECTION_POLICY.md`</w:t>
      </w:r>
    </w:p>
    <w:p>
      <w:r>
        <w:rPr>
          <w:sz w:val="20"/>
        </w:rPr>
        <w:t xml:space="preserve">Data Retention Policy  |  `DATA_RETENTION_POLICY.md`</w:t>
      </w:r>
    </w:p>
    <w:p>
      <w:r>
        <w:rPr>
          <w:sz w:val="20"/>
        </w:rPr>
        <w:t xml:space="preserve">Data Retention Schedule Visual  |  `DATA_RETENTION_SCHEDULE_VISUAL.md`</w:t>
      </w:r>
    </w:p>
    <w:p>
      <w:r>
        <w:rPr>
          <w:sz w:val="20"/>
        </w:rPr>
        <w:t xml:space="preserve">Data Subject Categories  |  `DATA_SUBJECT_CATEGORIES.md`</w:t>
      </w:r>
    </w:p>
    <w:p>
      <w:r>
        <w:rPr>
          <w:sz w:val="20"/>
        </w:rPr>
        <w:t xml:space="preserve">Data Subject Rights Portal  |  `DATA_SUBJECT_RIGHTS_PORTAL.md`</w:t>
      </w:r>
    </w:p>
    <w:p>
      <w:r>
        <w:rPr>
          <w:sz w:val="20"/>
        </w:rPr>
        <w:t xml:space="preserve">DSAR Handling Guide  |  `DSAR_HANDLING_GUIDE.md`</w:t>
      </w:r>
    </w:p>
    <w:p>
      <w:r>
        <w:rPr>
          <w:sz w:val="20"/>
        </w:rPr>
        <w:t xml:space="preserve">DSAR Log Template  |  `DSAR_LOG_TEMPLATE.md`</w:t>
      </w:r>
    </w:p>
    <w:p>
      <w:r>
        <w:rPr>
          <w:sz w:val="20"/>
        </w:rPr>
        <w:t xml:space="preserve">Lawful Basis Assessment  |  `LAWFUL_BASIS_ASSESSMENT.md`</w:t>
      </w:r>
    </w:p>
    <w:p>
      <w:r>
        <w:rPr>
          <w:sz w:val="20"/>
        </w:rPr>
        <w:t xml:space="preserve">Privacy by Design Checklist  |  `PRIVACY_BY_DESIGN_CHECKLIST.md`</w:t>
      </w:r>
    </w:p>
    <w:p>
      <w:r>
        <w:rPr>
          <w:sz w:val="20"/>
        </w:rPr>
        <w:t xml:space="preserve">Privacy Dashboard Configuration  |  `PRIVACY_DASHBOARD_CONFIG.json`</w:t>
      </w:r>
    </w:p>
    <w:p>
      <w:r>
        <w:rPr>
          <w:sz w:val="20"/>
        </w:rPr>
        <w:t xml:space="preserve">Privacy Impact Assessment  |  `PRIVACY_IMPACT_ASSESSMENT.md`</w:t>
      </w:r>
    </w:p>
    <w:p>
      <w:r>
        <w:rPr>
          <w:sz w:val="20"/>
        </w:rPr>
        <w:t xml:space="preserve">Privacy Impact Register  |  `PRIVACY_IMPACT_REGISTER.md`</w:t>
      </w:r>
    </w:p>
    <w:p>
      <w:r>
        <w:rPr>
          <w:sz w:val="20"/>
        </w:rPr>
        <w:t xml:space="preserve">Privacy Notice (Short)  |  `PRIVACY_NOTICE_SHORT.md`</w:t>
      </w:r>
    </w:p>
    <w:p>
      <w:r>
        <w:rPr>
          <w:sz w:val="20"/>
        </w:rPr>
        <w:t xml:space="preserve">Privacy Policy  |  `PRIVACY_POLICY.md`</w:t>
      </w:r>
    </w:p>
    <w:p>
      <w:r>
        <w:rPr>
          <w:sz w:val="20"/>
        </w:rPr>
        <w:t xml:space="preserve">Privacy Policy Changelog  |  `PRIVACY_POLICY_CHANGELOG.md`</w:t>
      </w:r>
    </w:p>
    <w:p>
      <w:r>
        <w:rPr>
          <w:sz w:val="20"/>
        </w:rPr>
        <w:t xml:space="preserve">Privacy Policy Comparison  |  `PRIVACY_POLICY_COMPARISON.md`</w:t>
      </w:r>
    </w:p>
    <w:p>
      <w:r>
        <w:rPr>
          <w:sz w:val="20"/>
        </w:rPr>
        <w:t xml:space="preserve">Privacy Program Charter  |  `PRIVACY_PROGRAM_CHARTER.md`</w:t>
      </w:r>
    </w:p>
    <w:p>
      <w:r>
        <w:rPr>
          <w:sz w:val="20"/>
        </w:rPr>
        <w:t xml:space="preserve">Privacy Program Roadmap  |  `PRIVACY_ROADMAP.md`</w:t>
      </w:r>
    </w:p>
    <w:p>
      <w:r>
        <w:rPr>
          <w:sz w:val="20"/>
        </w:rPr>
        <w:t xml:space="preserve">Privacy Risk Matrix  |  `PRIVACY_RISK_MATRIX.md`</w:t>
      </w:r>
    </w:p>
    <w:p>
      <w:r>
        <w:rPr>
          <w:sz w:val="20"/>
        </w:rPr>
        <w:t xml:space="preserve">Record of Processing Activities  |  `RECORD_OF_PROCESSING_ACTIVITIES.md`</w:t>
      </w:r>
    </w:p>
    <w:p>
      <w:pPr>
        <w:pStyle w:val="Heading2"/>
      </w:pPr>
      <w:r>
        <w:t>AI &amp; Machine Learning</w:t>
      </w:r>
    </w:p>
    <w:p>
      <w:r>
        <w:t xml:space="preserve">AI governance, disclosure, ethics, and regulatory compliance for AI/ML systems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Acceptable AI Use Policy  |  `ACCEPTABLE_AI_USE_POLICY.md`</w:t>
      </w:r>
    </w:p>
    <w:p>
      <w:r>
        <w:rPr>
          <w:sz w:val="20"/>
        </w:rPr>
        <w:t xml:space="preserve">AI Act Compliance Checklist  |  `AI_ACT_CHECKLIST.md`</w:t>
      </w:r>
    </w:p>
    <w:p>
      <w:r>
        <w:rPr>
          <w:sz w:val="20"/>
        </w:rPr>
        <w:t xml:space="preserve">AI Disclosure  |  `AI_DISCLOSURE.md`</w:t>
      </w:r>
    </w:p>
    <w:p>
      <w:r>
        <w:rPr>
          <w:sz w:val="20"/>
        </w:rPr>
        <w:t xml:space="preserve">AI Ethics Statement  |  `AI_ETHICS_STATEMENT.md`</w:t>
      </w:r>
    </w:p>
    <w:p>
      <w:r>
        <w:rPr>
          <w:sz w:val="20"/>
        </w:rPr>
        <w:t xml:space="preserve">AI Governance Framework  |  `AI_GOVERNANCE_FRAMEWORK.md`</w:t>
      </w:r>
    </w:p>
    <w:p>
      <w:r>
        <w:rPr>
          <w:sz w:val="20"/>
        </w:rPr>
        <w:t xml:space="preserve">AI Impact Assessment  |  `AI_IMPACT_ASSESSMENT.md`</w:t>
      </w:r>
    </w:p>
    <w:p>
      <w:r>
        <w:rPr>
          <w:sz w:val="20"/>
        </w:rPr>
        <w:t xml:space="preserve">AI Model Card  |  `AI_MODEL_CARD.md`</w:t>
      </w:r>
    </w:p>
    <w:p>
      <w:r>
        <w:rPr>
          <w:sz w:val="20"/>
        </w:rPr>
        <w:t xml:space="preserve">AI Red Team Guide  |  `AI_RED_TEAM_GUIDE.md`</w:t>
      </w:r>
    </w:p>
    <w:p>
      <w:r>
        <w:rPr>
          <w:sz w:val="20"/>
        </w:rPr>
        <w:t xml:space="preserve">AI Supply Chain Risk Assessment  |  `AI_SUPPLY_CHAIN_RISK.md`</w:t>
      </w:r>
    </w:p>
    <w:p>
      <w:r>
        <w:rPr>
          <w:sz w:val="20"/>
        </w:rPr>
        <w:t xml:space="preserve">AI Training Data Notice  |  `AI_TRAINING_DATA_NOTICE.md`</w:t>
      </w:r>
    </w:p>
    <w:p>
      <w:pPr>
        <w:pStyle w:val="Heading2"/>
      </w:pPr>
      <w:r>
        <w:t>Security</w:t>
      </w:r>
    </w:p>
    <w:p>
      <w:r>
        <w:t xml:space="preserve">Information security policies, access controls, encryption, and vulnerability management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Access Control Policy  |  `ACCESS_CONTROL_POLICY.md`</w:t>
      </w:r>
    </w:p>
    <w:p>
      <w:r>
        <w:rPr>
          <w:sz w:val="20"/>
        </w:rPr>
        <w:t xml:space="preserve">Dependency Vulnerability Scan  |  `VULNERABILITY_SCAN.md`</w:t>
      </w:r>
    </w:p>
    <w:p>
      <w:r>
        <w:rPr>
          <w:sz w:val="20"/>
        </w:rPr>
        <w:t xml:space="preserve">Encryption Policy  |  `ENCRYPTION_POLICY.md`</w:t>
      </w:r>
    </w:p>
    <w:p>
      <w:r>
        <w:rPr>
          <w:sz w:val="20"/>
        </w:rPr>
        <w:t xml:space="preserve">Information Security Policy  |  `INFORMATION_SECURITY_POLICY.md`</w:t>
      </w:r>
    </w:p>
    <w:p>
      <w:r>
        <w:rPr>
          <w:sz w:val="20"/>
        </w:rPr>
        <w:t xml:space="preserve">Penetration Test Scope  |  `PENTEST_SCOPE.md`</w:t>
      </w:r>
    </w:p>
    <w:p>
      <w:r>
        <w:rPr>
          <w:sz w:val="20"/>
        </w:rPr>
        <w:t xml:space="preserve">Responsible Disclosure Policy  |  `RESPONSIBLE_DISCLOSURE_POLICY.md`</w:t>
      </w:r>
    </w:p>
    <w:p>
      <w:r>
        <w:rPr>
          <w:sz w:val="20"/>
        </w:rPr>
        <w:t xml:space="preserve">Security Awareness Program  |  `SECURITY_AWARENESS_PROGRAM.md`</w:t>
      </w:r>
    </w:p>
    <w:p>
      <w:r>
        <w:rPr>
          <w:sz w:val="20"/>
        </w:rPr>
        <w:t xml:space="preserve">Security Policy  |  `SECURITY.md`</w:t>
      </w:r>
    </w:p>
    <w:p>
      <w:r>
        <w:rPr>
          <w:sz w:val="20"/>
        </w:rPr>
        <w:t xml:space="preserve">Vendor Security Questionnaire  |  `VENDOR_SECURITY_QUESTIONNAIRE.md`</w:t>
      </w:r>
    </w:p>
    <w:p>
      <w:pPr>
        <w:pStyle w:val="Heading2"/>
      </w:pPr>
      <w:r>
        <w:t>Incident Management</w:t>
      </w:r>
    </w:p>
    <w:p>
      <w:r>
        <w:t xml:space="preserve">Incident response plans, breach notification templates, and severity matrices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Backup Policy  |  `BACKUP_POLICY.md`</w:t>
      </w:r>
    </w:p>
    <w:p>
      <w:r>
        <w:rPr>
          <w:sz w:val="20"/>
        </w:rPr>
        <w:t xml:space="preserve">Business Continuity Plan  |  `BUSINESS_CONTINUITY_PLAN.md`</w:t>
      </w:r>
    </w:p>
    <w:p>
      <w:r>
        <w:rPr>
          <w:sz w:val="20"/>
        </w:rPr>
        <w:t xml:space="preserve">Data Breach Notification Templates  |  `DATA_BREACH_NOTIFICATION_TEMPLATE.md`</w:t>
      </w:r>
    </w:p>
    <w:p>
      <w:r>
        <w:rPr>
          <w:sz w:val="20"/>
        </w:rPr>
        <w:t xml:space="preserve">Data Breach Response Drill Template  |  `DATA_BREACH_DRILL_TEMPLATE.md`</w:t>
      </w:r>
    </w:p>
    <w:p>
      <w:r>
        <w:rPr>
          <w:sz w:val="20"/>
        </w:rPr>
        <w:t xml:space="preserve">Disaster Recovery Plan  |  `DISASTER_RECOVERY_PLAN.md`</w:t>
      </w:r>
    </w:p>
    <w:p>
      <w:r>
        <w:rPr>
          <w:sz w:val="20"/>
        </w:rPr>
        <w:t xml:space="preserve">Incident Communication Templates  |  `INCIDENT_COMMUNICATION_TEMPLATES.md`</w:t>
      </w:r>
    </w:p>
    <w:p>
      <w:r>
        <w:rPr>
          <w:sz w:val="20"/>
        </w:rPr>
        <w:t xml:space="preserve">Incident Response Plan  |  `INCIDENT_RESPONSE_PLAN.md`</w:t>
      </w:r>
    </w:p>
    <w:p>
      <w:r>
        <w:rPr>
          <w:sz w:val="20"/>
        </w:rPr>
        <w:t xml:space="preserve">Incident Severity Matrix  |  `INCIDENT_SEVERITY_MATRIX.md`</w:t>
      </w:r>
    </w:p>
    <w:p>
      <w:pPr>
        <w:pStyle w:val="Heading2"/>
      </w:pPr>
      <w:r>
        <w:t>Vendor &amp; Third-Party Management</w:t>
      </w:r>
    </w:p>
    <w:p>
      <w:r>
        <w:t xml:space="preserve">Sub-processor management, vendor risk assessment, and supplier compliance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Cross-Border Transfer Map  |  `CROSS_BORDER_TRANSFER_MAP.md`</w:t>
      </w:r>
    </w:p>
    <w:p>
      <w:r>
        <w:rPr>
          <w:sz w:val="20"/>
        </w:rPr>
        <w:t xml:space="preserve">Sub-Processor Change Notification  |  `SUBPROCESSOR_CHANGE_NOTIFICATION.md`</w:t>
      </w:r>
    </w:p>
    <w:p>
      <w:r>
        <w:rPr>
          <w:sz w:val="20"/>
        </w:rPr>
        <w:t xml:space="preserve">Sub-Processor List  |  `SUBPROCESSOR_LIST.md`</w:t>
      </w:r>
    </w:p>
    <w:p>
      <w:r>
        <w:rPr>
          <w:sz w:val="20"/>
        </w:rPr>
        <w:t xml:space="preserve">Supplier Code of Conduct  |  `SUPPLIER_CODE_OF_CONDUCT.md`</w:t>
      </w:r>
    </w:p>
    <w:p>
      <w:r>
        <w:rPr>
          <w:sz w:val="20"/>
        </w:rPr>
        <w:t xml:space="preserve">Third-Party Cookie Notice  |  `THIRD_PARTY_COOKIE_NOTICE.md`</w:t>
      </w:r>
    </w:p>
    <w:p>
      <w:r>
        <w:rPr>
          <w:sz w:val="20"/>
        </w:rPr>
        <w:t xml:space="preserve">Third-Party Due Diligence Template  |  `THIRD_PARTY_DUE_DILIGENCE_TEMPLATE.md`</w:t>
      </w:r>
    </w:p>
    <w:p>
      <w:r>
        <w:rPr>
          <w:sz w:val="20"/>
        </w:rPr>
        <w:t xml:space="preserve">Third-Party Risk Assessment  |  `THIRD_PARTY_RISK_ASSESSMENT.md`</w:t>
      </w:r>
    </w:p>
    <w:p>
      <w:r>
        <w:rPr>
          <w:sz w:val="20"/>
        </w:rPr>
        <w:t xml:space="preserve">Transfer Impact Assessment  |  `TRANSFER_IMPACT_ASSESSMENT.md`</w:t>
      </w:r>
    </w:p>
    <w:p>
      <w:r>
        <w:rPr>
          <w:sz w:val="20"/>
        </w:rPr>
        <w:t xml:space="preserve">Vendor Contacts Directory  |  `VENDOR_CONTACTS.md`</w:t>
      </w:r>
    </w:p>
    <w:p>
      <w:r>
        <w:rPr>
          <w:sz w:val="20"/>
        </w:rPr>
        <w:t xml:space="preserve">Vendor Exit Plan  |  `VENDOR_EXIT_PLAN.md`</w:t>
      </w:r>
    </w:p>
    <w:p>
      <w:r>
        <w:rPr>
          <w:sz w:val="20"/>
        </w:rPr>
        <w:t xml:space="preserve">Vendor Onboarding Checklist  |  `VENDOR_ONBOARDING_CHECKLIST.md`</w:t>
      </w:r>
    </w:p>
    <w:p>
      <w:r>
        <w:rPr>
          <w:sz w:val="20"/>
        </w:rPr>
        <w:t xml:space="preserve">Vendor Risk Tier Assessment  |  `VENDOR_RISK_TIER_ASSESSMENT.md`</w:t>
      </w:r>
    </w:p>
    <w:p>
      <w:pPr>
        <w:pStyle w:val="Heading2"/>
      </w:pPr>
      <w:r>
        <w:t>Cookies &amp; Consent</w:t>
      </w:r>
    </w:p>
    <w:p>
      <w:r>
        <w:t xml:space="preserve">Cookie policies, consent management, and tracking disclosure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Consent Management Guide  |  `CONSENT_MANAGEMENT_GUIDE.md`</w:t>
      </w:r>
    </w:p>
    <w:p>
      <w:r>
        <w:rPr>
          <w:sz w:val="20"/>
        </w:rPr>
        <w:t xml:space="preserve">Consent Record Template  |  `CONSENT_RECORD_TEMPLATE.md`</w:t>
      </w:r>
    </w:p>
    <w:p>
      <w:r>
        <w:rPr>
          <w:sz w:val="20"/>
        </w:rPr>
        <w:t xml:space="preserve">Cookie Consent Configuration  |  `COOKIE_CONSENT_CONFIG.json`</w:t>
      </w:r>
    </w:p>
    <w:p>
      <w:r>
        <w:rPr>
          <w:sz w:val="20"/>
        </w:rPr>
        <w:t xml:space="preserve">Cookie Inventory  |  `COOKIE_INVENTORY.md`</w:t>
      </w:r>
    </w:p>
    <w:p>
      <w:r>
        <w:rPr>
          <w:sz w:val="20"/>
        </w:rPr>
        <w:t xml:space="preserve">Cookie Policy  |  `COOKIE_POLICY.md`</w:t>
      </w:r>
    </w:p>
    <w:p>
      <w:pPr>
        <w:pStyle w:val="Heading2"/>
      </w:pPr>
      <w:r>
        <w:t>Compliance Frameworks</w:t>
      </w:r>
    </w:p>
    <w:p>
      <w:r>
        <w:t xml:space="preserve">SOC 2, ISO 27001, and regulatory readiness checklists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Compliance Automation Guide  |  `COMPLIANCE_AUTOMATION_GUIDE.md`</w:t>
      </w:r>
    </w:p>
    <w:p>
      <w:r>
        <w:rPr>
          <w:sz w:val="20"/>
        </w:rPr>
        <w:t xml:space="preserve">Compliance Gap Analysis  |  `COMPLIANCE_GAP_ANALYSIS.md`</w:t>
      </w:r>
    </w:p>
    <w:p>
      <w:r>
        <w:rPr>
          <w:sz w:val="20"/>
        </w:rPr>
        <w:t xml:space="preserve">Compliance KPI Dashboard  |  `COMPLIANCE_KPI_DASHBOARD.md`</w:t>
      </w:r>
    </w:p>
    <w:p>
      <w:r>
        <w:rPr>
          <w:sz w:val="20"/>
        </w:rPr>
        <w:t xml:space="preserve">Compliance Maturity Model  |  `COMPLIANCE_MATURITY_MODEL.md`</w:t>
      </w:r>
    </w:p>
    <w:p>
      <w:r>
        <w:rPr>
          <w:sz w:val="20"/>
        </w:rPr>
        <w:t xml:space="preserve">Compliance Oath  |  `COMPLIANCE_OATH.md`</w:t>
      </w:r>
    </w:p>
    <w:p>
      <w:r>
        <w:rPr>
          <w:sz w:val="20"/>
        </w:rPr>
        <w:t xml:space="preserve">Compliance Scorecard  |  `COMPLIANCE_SCORECARD.md`</w:t>
      </w:r>
    </w:p>
    <w:p>
      <w:r>
        <w:rPr>
          <w:sz w:val="20"/>
        </w:rPr>
        <w:t xml:space="preserve">ISO 27001 Compliance Checklist  |  `ISO_27001_CHECKLIST.md`</w:t>
      </w:r>
    </w:p>
    <w:p>
      <w:r>
        <w:rPr>
          <w:sz w:val="20"/>
        </w:rPr>
        <w:t xml:space="preserve">Regulatory Readiness Scorecard  |  `REGULATORY_READINESS_SCORECARD.md`</w:t>
      </w:r>
    </w:p>
    <w:p>
      <w:r>
        <w:rPr>
          <w:sz w:val="20"/>
        </w:rPr>
        <w:t xml:space="preserve">SOC 2 Readiness Checklist  |  `SOC2_READINESS_CHECKLIST.md`</w:t>
      </w:r>
    </w:p>
    <w:p>
      <w:pPr>
        <w:pStyle w:val="Heading2"/>
      </w:pPr>
      <w:r>
        <w:t>Legal &amp; Terms</w:t>
      </w:r>
    </w:p>
    <w:p>
      <w:r>
        <w:t xml:space="preserve">Terms of service, acceptable use, refund policy, and API terms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Acceptable Use Policy  |  `ACCEPTABLE_USE_POLICY.md`</w:t>
      </w:r>
    </w:p>
    <w:p>
      <w:r>
        <w:rPr>
          <w:sz w:val="20"/>
        </w:rPr>
        <w:t xml:space="preserve">API Privacy Documentation  |  `API_PRIVACY_DOCUMENTATION.md`</w:t>
      </w:r>
    </w:p>
    <w:p>
      <w:r>
        <w:rPr>
          <w:sz w:val="20"/>
        </w:rPr>
        <w:t xml:space="preserve">API Terms of Use  |  `API_TERMS_OF_USE.md`</w:t>
      </w:r>
    </w:p>
    <w:p>
      <w:r>
        <w:rPr>
          <w:sz w:val="20"/>
        </w:rPr>
        <w:t xml:space="preserve">Refund Policy  |  `REFUND_POLICY.md`</w:t>
      </w:r>
    </w:p>
    <w:p>
      <w:r>
        <w:rPr>
          <w:sz w:val="20"/>
        </w:rPr>
        <w:t xml:space="preserve">Service Level Agreement  |  `SERVICE_LEVEL_AGREEMENT.md`</w:t>
      </w:r>
    </w:p>
    <w:p>
      <w:r>
        <w:rPr>
          <w:sz w:val="20"/>
        </w:rPr>
        <w:t xml:space="preserve">Terms of Service  |  `TERMS_OF_SERVICE.md`</w:t>
      </w:r>
    </w:p>
    <w:p>
      <w:pPr>
        <w:pStyle w:val="Heading2"/>
      </w:pPr>
      <w:r>
        <w:t>Organizational</w:t>
      </w:r>
    </w:p>
    <w:p>
      <w:r>
        <w:t xml:space="preserve">Employee policies, training records, DPO handbook, and whistleblower protections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Change Management Policy  |  `CHANGE_MANAGEMENT_POLICY.md`</w:t>
      </w:r>
    </w:p>
    <w:p>
      <w:r>
        <w:rPr>
          <w:sz w:val="20"/>
        </w:rPr>
        <w:t xml:space="preserve">DPO Handbook  |  `DPO_HANDBOOK.md`</w:t>
      </w:r>
    </w:p>
    <w:p>
      <w:r>
        <w:rPr>
          <w:sz w:val="20"/>
        </w:rPr>
        <w:t xml:space="preserve">Employee Handbook Privacy Section  |  `EMPLOYEE_HANDBOOK_PRIVACY_SECTION.md`</w:t>
      </w:r>
    </w:p>
    <w:p>
      <w:r>
        <w:rPr>
          <w:sz w:val="20"/>
        </w:rPr>
        <w:t xml:space="preserve">Key Person Risk Assessment  |  `KEY_PERSON_RISK_ASSESSMENT.md`</w:t>
      </w:r>
    </w:p>
    <w:p>
      <w:r>
        <w:rPr>
          <w:sz w:val="20"/>
        </w:rPr>
        <w:t xml:space="preserve">Training Record  |  `TRAINING_RECORD.md`</w:t>
      </w:r>
    </w:p>
    <w:p>
      <w:pPr>
        <w:pStyle w:val="Heading2"/>
      </w:pPr>
      <w:r>
        <w:t>Reporting &amp; Communication</w:t>
      </w:r>
    </w:p>
    <w:p>
      <w:r>
        <w:t xml:space="preserve">Executive dashboards, compliance summaries, and stakeholder communications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Compliance Budget Template  |  `COMPLIANCE_BUDGET_TEMPLATE.md`</w:t>
      </w:r>
    </w:p>
    <w:p>
      <w:r>
        <w:rPr>
          <w:sz w:val="20"/>
        </w:rPr>
        <w:t xml:space="preserve">Compliance Communication Plan  |  `COMPLIANCE_COMMUNICATION_PLAN.md`</w:t>
      </w:r>
    </w:p>
    <w:p>
      <w:r>
        <w:rPr>
          <w:sz w:val="20"/>
        </w:rPr>
        <w:t xml:space="preserve">Compliance Summary Email  |  `COMPLIANCE_SUMMARY_EMAIL.md`</w:t>
      </w:r>
    </w:p>
    <w:p>
      <w:r>
        <w:rPr>
          <w:sz w:val="20"/>
        </w:rPr>
        <w:t xml:space="preserve">Executive Briefing  |  `EXECUTIVE_BRIEFING.md`</w:t>
      </w:r>
    </w:p>
    <w:p>
      <w:r>
        <w:rPr>
          <w:sz w:val="20"/>
        </w:rPr>
        <w:t xml:space="preserve">Executive Dashboard  |  `EXECUTIVE_DASHBOARD.md`</w:t>
      </w:r>
    </w:p>
    <w:p>
      <w:r>
        <w:rPr>
          <w:sz w:val="20"/>
        </w:rPr>
        <w:t xml:space="preserve">Regulatory Correspondence Log  |  `REGULATORY_CORRESPONDENCE_LOG.md`</w:t>
      </w:r>
    </w:p>
    <w:p>
      <w:r>
        <w:rPr>
          <w:sz w:val="20"/>
        </w:rPr>
        <w:t xml:space="preserve">Transparency Report  |  `TRANSPARENCY_REPORT.md`</w:t>
      </w:r>
    </w:p>
    <w:p>
      <w:pPr>
        <w:pStyle w:val="Heading2"/>
      </w:pPr>
      <w:r>
        <w:t>Risk Management</w:t>
      </w:r>
    </w:p>
    <w:p>
      <w:r>
        <w:t xml:space="preserve">Risk registers, annual reviews, and compliance timelines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Annual Review Checklist  |  `ANNUAL_REVIEW_CHECKLIST.md`</w:t>
      </w:r>
    </w:p>
    <w:p>
      <w:r>
        <w:rPr>
          <w:sz w:val="20"/>
        </w:rPr>
        <w:t xml:space="preserve">Audit Log Policy  |  `AUDIT_LOG_POLICY.md`</w:t>
      </w:r>
    </w:p>
    <w:p>
      <w:r>
        <w:rPr>
          <w:sz w:val="20"/>
        </w:rPr>
        <w:t xml:space="preserve">Compliance Roadmap  |  `COMPLIANCE_ROADMAP.md`</w:t>
      </w:r>
    </w:p>
    <w:p>
      <w:r>
        <w:rPr>
          <w:sz w:val="20"/>
        </w:rPr>
        <w:t xml:space="preserve">Compliance Timeline  |  `COMPLIANCE_TIMELINE.md`</w:t>
      </w:r>
    </w:p>
    <w:p>
      <w:r>
        <w:rPr>
          <w:sz w:val="20"/>
        </w:rPr>
        <w:t xml:space="preserve">Risk Register  |  `RISK_REGISTER.md`</w:t>
      </w:r>
    </w:p>
    <w:p>
      <w:pPr>
        <w:pStyle w:val="Heading2"/>
      </w:pPr>
      <w:r>
        <w:t>Guides &amp; References</w:t>
      </w:r>
    </w:p>
    <w:p>
      <w:r>
        <w:t xml:space="preserve">Quick start guides, glossaries, FAQs, and open source notices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Compliance FAQ  |  `COMPLIANCE_FAQ.md`</w:t>
      </w:r>
    </w:p>
    <w:p>
      <w:r>
        <w:rPr>
          <w:sz w:val="20"/>
        </w:rPr>
        <w:t xml:space="preserve">Compliance Glossary  |  `COMPLIANCE_GLOSSARY.md`</w:t>
      </w:r>
    </w:p>
    <w:p>
      <w:r>
        <w:rPr>
          <w:sz w:val="20"/>
        </w:rPr>
        <w:t xml:space="preserve">Compliance Notes  |  `COMPLIANCE_NOTES.md`</w:t>
      </w:r>
    </w:p>
    <w:p>
      <w:r>
        <w:rPr>
          <w:sz w:val="20"/>
        </w:rPr>
        <w:t xml:space="preserve">Environment Variable Audit  |  `ENV_AUDIT.md`</w:t>
      </w:r>
    </w:p>
    <w:p>
      <w:r>
        <w:rPr>
          <w:sz w:val="20"/>
        </w:rPr>
        <w:t xml:space="preserve">Quick Start Compliance Guide  |  `QUICK_START_COMPLIANCE_GUIDE.md`</w:t>
      </w:r>
    </w:p>
    <w:p>
      <w:pPr>
        <w:pStyle w:val="Heading2"/>
      </w:pPr>
      <w:r>
        <w:t>Other</w:t>
      </w:r>
    </w:p>
    <w:p>
      <w:r>
        <w:t xml:space="preserve">Additional compliance documents</w:t>
      </w:r>
    </w:p>
    <w:p>
      <w:r>
        <w:rPr>
          <w:sz w:val="20"/>
        </w:rPr>
        <w:t xml:space="preserve">Document  |  Filename</w:t>
      </w:r>
    </w:p>
    <w:p>
      <w:r>
        <w:rPr>
          <w:sz w:val="20"/>
        </w:rPr>
        <w:t xml:space="preserve">Compliance Onboarding Guide  |  `COMPLIANCE_ONBOARDING_GUIDE.md`</w:t>
      </w:r>
    </w:p>
    <w:p>
      <w:r>
        <w:rPr>
          <w:sz w:val="20"/>
        </w:rPr>
        <w:t xml:space="preserve">Data Processing Inventory  |  `DATA_PROCESSING_INVENTORY.md`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How to Use This Index</w:t>
      </w:r>
    </w:p>
    <w:p>
      <w:pPr>
        <w:pStyle w:val="ListParagraph"/>
        <w:numPr>
          <w:ilvl w:val="0"/>
          <w:numId w:val="2"/>
        </w:numPr>
      </w:pPr>
      <w:r>
        <w:t xml:space="preserve">**New to compliance?** Start with the [Quick Start Compliance Guide](QUICK_START_COMPLIANCE_GUIDE.md) and [Compliance Roadmap](COMPLIANCE_ROADMAP.md)</w:t>
      </w:r>
    </w:p>
    <w:p>
      <w:pPr>
        <w:pStyle w:val="ListParagraph"/>
        <w:numPr>
          <w:ilvl w:val="0"/>
          <w:numId w:val="2"/>
        </w:numPr>
      </w:pPr>
      <w:r>
        <w:t xml:space="preserve">**Preparing for audit?** Review the [Compliance Certificate](COMPLIANCE_CERTIFICATE.md), [SOC 2 Readiness Checklist](SOC2_READINESS_CHECKLIST.md), and [ISO 27001 Checklist](ISO_27001_CHECKLIST.md)</w:t>
      </w:r>
    </w:p>
    <w:p>
      <w:pPr>
        <w:pStyle w:val="ListParagraph"/>
        <w:numPr>
          <w:ilvl w:val="0"/>
          <w:numId w:val="2"/>
        </w:numPr>
      </w:pPr>
      <w:r>
        <w:t xml:space="preserve">**Responding to a DSAR?** See [DSAR Handling Guide](DSAR_HANDLING_GUIDE.md), [Data Deletion Procedures](DATA_DELETION_PROCEDURES.md), and [Vendor Contacts Directory](VENDOR_CONTACTS.md)</w:t>
      </w:r>
    </w:p>
    <w:p>
      <w:pPr>
        <w:pStyle w:val="ListParagraph"/>
        <w:numPr>
          <w:ilvl w:val="0"/>
          <w:numId w:val="2"/>
        </w:numPr>
      </w:pPr>
      <w:r>
        <w:t xml:space="preserve">**Board reporting?** Use the [Executive Dashboard](EXECUTIVE_DASHBOARD.md) or [Compliance Summary Email](COMPLIANCE_SUMMARY_EMAIL.md)</w:t>
      </w:r>
    </w:p>
    <w:p>
      <w:pPr>
        <w:pStyle w:val="ListParagraph"/>
        <w:numPr>
          <w:ilvl w:val="0"/>
          <w:numId w:val="2"/>
        </w:numPr>
      </w:pPr>
      <w:r>
        <w:t xml:space="preserve">**Vendor evaluation?** Share the [Vendor Security Questionnaire](VENDOR_SECURITY_QUESTIONNAIRE.md) and [Compliance Certificate](COMPLIANCE_CERTIFICATE.md)</w:t>
      </w:r>
    </w:p>
    <w:p>
      <w:pPr>
        <w:pBdr>
          <w:bottom w:val="single" w:sz="6" w:space="1" w:color="999999"/>
        </w:pBdr>
      </w:pPr>
    </w:p>
    <w:p>
      <w:r>
        <w:t xml:space="preserve">Generated by [Codepliant](https://github.com/joechensmartz/codepliant) on 2026-03-19. This index is auto-generated from code analysis. All documents should be reviewed by qualified legal counsel.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